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General Manager FYI </w:t>
      </w:r>
      <w:r w:rsidDel="00000000" w:rsidR="00000000" w:rsidRPr="00000000">
        <w:drawing>
          <wp:anchor allowOverlap="1" behindDoc="0" distB="0" distT="0" distL="114300" distR="114300" hidden="0" layoutInCell="1" locked="0" relativeHeight="0" simplePos="0">
            <wp:simplePos x="0" y="0"/>
            <wp:positionH relativeFrom="column">
              <wp:posOffset>4262755</wp:posOffset>
            </wp:positionH>
            <wp:positionV relativeFrom="paragraph">
              <wp:posOffset>-475614</wp:posOffset>
            </wp:positionV>
            <wp:extent cx="1840230" cy="1840230"/>
            <wp:effectExtent b="0" l="0" r="0" t="0"/>
            <wp:wrapSquare wrapText="bothSides" distB="0" distT="0" distL="114300" distR="114300"/>
            <wp:docPr id="2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840230" cy="1840230"/>
                    </a:xfrm>
                    <a:prstGeom prst="rect"/>
                    <a:ln/>
                  </pic:spPr>
                </pic:pic>
              </a:graphicData>
            </a:graphic>
          </wp:anchor>
        </w:drawing>
      </w:r>
    </w:p>
    <w:p w:rsidR="00000000" w:rsidDel="00000000" w:rsidP="00000000" w:rsidRDefault="00000000" w:rsidRPr="00000000" w14:paraId="00000002">
      <w:pPr>
        <w:spacing w:after="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October 30, 2023</w:t>
      </w:r>
    </w:p>
    <w:p w:rsidR="00000000" w:rsidDel="00000000" w:rsidP="00000000" w:rsidRDefault="00000000" w:rsidRPr="00000000" w14:paraId="00000003">
      <w:pPr>
        <w:spacing w:after="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No action needed</w:t>
      </w:r>
    </w:p>
    <w:p w:rsidR="00000000" w:rsidDel="00000000" w:rsidP="00000000" w:rsidRDefault="00000000" w:rsidRPr="00000000" w14:paraId="00000004">
      <w:pPr>
        <w:spacing w:after="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Gill Sans" w:cs="Gill Sans" w:eastAsia="Gill Sans" w:hAnsi="Gill Sans"/>
          <w:b w:val="1"/>
          <w:sz w:val="24"/>
          <w:szCs w:val="24"/>
          <w:u w:val="single"/>
        </w:rPr>
      </w:pPr>
      <w:r w:rsidDel="00000000" w:rsidR="00000000" w:rsidRPr="00000000">
        <w:rPr>
          <w:rFonts w:ascii="Gill Sans" w:cs="Gill Sans" w:eastAsia="Gill Sans" w:hAnsi="Gill Sans"/>
          <w:b w:val="1"/>
          <w:sz w:val="24"/>
          <w:szCs w:val="24"/>
          <w:u w:val="single"/>
          <w:rtl w:val="0"/>
        </w:rPr>
        <w:t xml:space="preserve">OPERATIONS UPDATES</w:t>
      </w:r>
    </w:p>
    <w:p w:rsidR="00000000" w:rsidDel="00000000" w:rsidP="00000000" w:rsidRDefault="00000000" w:rsidRPr="00000000" w14:paraId="00000006">
      <w:pPr>
        <w:spacing w:after="0" w:line="240" w:lineRule="auto"/>
        <w:rPr>
          <w:rFonts w:ascii="Gill Sans" w:cs="Gill Sans" w:eastAsia="Gill Sans" w:hAnsi="Gill Sans"/>
          <w:sz w:val="24"/>
          <w:szCs w:val="24"/>
        </w:rPr>
      </w:pPr>
      <w:r w:rsidDel="00000000" w:rsidR="00000000" w:rsidRPr="00000000">
        <w:rPr>
          <w:rFonts w:ascii="Gill Sans" w:cs="Gill Sans" w:eastAsia="Gill Sans" w:hAnsi="Gill Sans"/>
          <w:sz w:val="24"/>
          <w:szCs w:val="24"/>
          <w:u w:val="single"/>
          <w:rtl w:val="0"/>
        </w:rPr>
        <w:t xml:space="preserve">SALES:</w:t>
      </w:r>
      <w:r w:rsidDel="00000000" w:rsidR="00000000" w:rsidRPr="00000000">
        <w:rPr>
          <w:rFonts w:ascii="Gill Sans" w:cs="Gill Sans" w:eastAsia="Gill Sans" w:hAnsi="Gill Sans"/>
          <w:sz w:val="24"/>
          <w:szCs w:val="24"/>
          <w:rtl w:val="0"/>
        </w:rPr>
        <w:t xml:space="preserve"> Department sales recap. The difference reported is between the current year and the prior year.</w:t>
      </w:r>
    </w:p>
    <w:p w:rsidR="00000000" w:rsidDel="00000000" w:rsidP="00000000" w:rsidRDefault="00000000" w:rsidRPr="00000000" w14:paraId="00000007">
      <w:pPr>
        <w:spacing w:after="0" w:line="240" w:lineRule="auto"/>
        <w:rPr>
          <w:rFonts w:ascii="Gill Sans" w:cs="Gill Sans" w:eastAsia="Gill Sans" w:hAnsi="Gill Sans"/>
          <w:sz w:val="24"/>
          <w:szCs w:val="24"/>
        </w:rPr>
      </w:pPr>
      <w:r w:rsidDel="00000000" w:rsidR="00000000" w:rsidRPr="00000000">
        <w:rPr>
          <w:rtl w:val="0"/>
        </w:rPr>
      </w:r>
    </w:p>
    <w:tbl>
      <w:tblPr>
        <w:tblStyle w:val="Table1"/>
        <w:tblW w:w="9208.0" w:type="dxa"/>
        <w:jc w:val="left"/>
        <w:tblInd w:w="-21.999999999999993" w:type="dxa"/>
        <w:tblLayout w:type="fixed"/>
        <w:tblLook w:val="0400"/>
      </w:tblPr>
      <w:tblGrid>
        <w:gridCol w:w="2009"/>
        <w:gridCol w:w="1760"/>
        <w:gridCol w:w="1873"/>
        <w:gridCol w:w="1873"/>
        <w:gridCol w:w="1693"/>
        <w:tblGridChange w:id="0">
          <w:tblGrid>
            <w:gridCol w:w="2009"/>
            <w:gridCol w:w="1760"/>
            <w:gridCol w:w="1873"/>
            <w:gridCol w:w="1873"/>
            <w:gridCol w:w="1693"/>
          </w:tblGrid>
        </w:tblGridChange>
      </w:tblGrid>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08">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September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9">
            <w:pPr>
              <w:spacing w:after="0" w:line="240" w:lineRule="auto"/>
              <w:jc w:val="right"/>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2021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A">
            <w:pPr>
              <w:spacing w:after="0" w:line="240" w:lineRule="auto"/>
              <w:jc w:val="right"/>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2022</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B">
            <w:pPr>
              <w:spacing w:after="0" w:line="240" w:lineRule="auto"/>
              <w:jc w:val="right"/>
              <w:rPr>
                <w:rFonts w:ascii="Gill Sans" w:cs="Gill Sans" w:eastAsia="Gill Sans" w:hAnsi="Gill Sans"/>
                <w:b w:val="1"/>
                <w:color w:val="1f497d"/>
                <w:sz w:val="24"/>
                <w:szCs w:val="24"/>
              </w:rPr>
            </w:pPr>
            <w:r w:rsidDel="00000000" w:rsidR="00000000" w:rsidRPr="00000000">
              <w:rPr>
                <w:rFonts w:ascii="Gill Sans" w:cs="Gill Sans" w:eastAsia="Gill Sans" w:hAnsi="Gill Sans"/>
                <w:b w:val="1"/>
                <w:color w:val="1f497d"/>
                <w:sz w:val="24"/>
                <w:szCs w:val="24"/>
                <w:rtl w:val="0"/>
              </w:rPr>
              <w:t xml:space="preserve">2023</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0C">
            <w:pPr>
              <w:spacing w:after="0" w:line="240"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Difference</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0D">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Total Sales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E">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$867,551.86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0F">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$959,935.32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0">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$1,020,901.29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1">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6.8%</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2">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Grocery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3">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$406,756.73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4">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$434,281.00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$442,435.21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6">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1.9%</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7">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Wellness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8">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$117,381.79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9">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$104,696.11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A">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$118,414.39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13.1%</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C">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Prepared Foods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D">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$126,260.95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E">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$169,138.54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F">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$185,222.01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0">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9.5%</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1">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Bakery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2">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$45,295.44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3">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$50,924.49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$65,372.54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27.4%</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6">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Meat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7">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$71,348.73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8">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$75,771.19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$77,390.20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2.1%</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B">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Produce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$90,941.10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$109,499.24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$123,746.92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13.0%</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Campus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$10,731.58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$15,624.75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$14,835.99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-5.1%</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35">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Customer Count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29950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33707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34519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2.4%</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3A">
            <w:pPr>
              <w:spacing w:after="0" w:line="240" w:lineRule="auto"/>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Basket Size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$28.03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$27.38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$28.58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spacing w:after="0" w:line="240" w:lineRule="auto"/>
              <w:jc w:val="right"/>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4.4%</w:t>
            </w:r>
          </w:p>
        </w:tc>
      </w:tr>
    </w:tbl>
    <w:p w:rsidR="00000000" w:rsidDel="00000000" w:rsidP="00000000" w:rsidRDefault="00000000" w:rsidRPr="00000000" w14:paraId="0000003F">
      <w:pPr>
        <w:spacing w:after="0" w:line="24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Gill Sans" w:cs="Gill Sans" w:eastAsia="Gill Sans" w:hAnsi="Gill Sans"/>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4"/>
          <w:szCs w:val="24"/>
          <w:u w:val="singl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New Ownerships: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spacing w:after="0" w:line="240" w:lineRule="auto"/>
        <w:rPr>
          <w:rFonts w:ascii="Gill Sans" w:cs="Gill Sans" w:eastAsia="Gill Sans" w:hAnsi="Gill Sans"/>
          <w:sz w:val="24"/>
          <w:szCs w:val="24"/>
          <w:u w:val="single"/>
        </w:rPr>
      </w:pPr>
      <w:r w:rsidDel="00000000" w:rsidR="00000000" w:rsidRPr="00000000">
        <w:rPr>
          <w:rtl w:val="0"/>
        </w:rPr>
      </w:r>
    </w:p>
    <w:p w:rsidR="00000000" w:rsidDel="00000000" w:rsidP="00000000" w:rsidRDefault="00000000" w:rsidRPr="00000000" w14:paraId="00000043">
      <w:pPr>
        <w:spacing w:after="0" w:line="240" w:lineRule="auto"/>
        <w:rPr>
          <w:rFonts w:ascii="Gill Sans" w:cs="Gill Sans" w:eastAsia="Gill Sans" w:hAnsi="Gill Sans"/>
          <w:sz w:val="24"/>
          <w:szCs w:val="24"/>
          <w:u w:val="single"/>
        </w:rPr>
      </w:pPr>
      <w:r w:rsidDel="00000000" w:rsidR="00000000" w:rsidRPr="00000000">
        <w:rPr/>
        <w:drawing>
          <wp:inline distB="0" distT="0" distL="0" distR="0">
            <wp:extent cx="5943600" cy="3037840"/>
            <wp:docPr id="17"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44">
      <w:pPr>
        <w:spacing w:after="0" w:line="240" w:lineRule="auto"/>
        <w:rPr>
          <w:rFonts w:ascii="Gill Sans" w:cs="Gill Sans" w:eastAsia="Gill Sans" w:hAnsi="Gill Sans"/>
          <w:sz w:val="24"/>
          <w:szCs w:val="24"/>
          <w:u w:val="single"/>
        </w:rPr>
      </w:pPr>
      <w:r w:rsidDel="00000000" w:rsidR="00000000" w:rsidRPr="00000000">
        <w:rPr>
          <w:rtl w:val="0"/>
        </w:rPr>
      </w:r>
    </w:p>
    <w:p w:rsidR="00000000" w:rsidDel="00000000" w:rsidP="00000000" w:rsidRDefault="00000000" w:rsidRPr="00000000" w14:paraId="00000045">
      <w:pPr>
        <w:spacing w:after="0" w:line="240" w:lineRule="auto"/>
        <w:rPr>
          <w:rFonts w:ascii="Gill Sans" w:cs="Gill Sans" w:eastAsia="Gill Sans" w:hAnsi="Gill Sans"/>
          <w:sz w:val="24"/>
          <w:szCs w:val="24"/>
          <w:highlight w:val="yellow"/>
          <w:u w:val="single"/>
        </w:rPr>
      </w:pPr>
      <w:r w:rsidDel="00000000" w:rsidR="00000000" w:rsidRPr="00000000">
        <w:rPr>
          <w:rtl w:val="0"/>
        </w:rPr>
      </w:r>
    </w:p>
    <w:p w:rsidR="00000000" w:rsidDel="00000000" w:rsidP="00000000" w:rsidRDefault="00000000" w:rsidRPr="00000000" w14:paraId="00000046">
      <w:pPr>
        <w:spacing w:after="0" w:line="240" w:lineRule="auto"/>
        <w:rPr>
          <w:rFonts w:ascii="Gill Sans" w:cs="Gill Sans" w:eastAsia="Gill Sans" w:hAnsi="Gill Sans"/>
          <w:b w:val="1"/>
          <w:sz w:val="24"/>
          <w:szCs w:val="24"/>
          <w:u w:val="single"/>
        </w:rPr>
      </w:pPr>
      <w:r w:rsidDel="00000000" w:rsidR="00000000" w:rsidRPr="00000000">
        <w:rPr>
          <w:rtl w:val="0"/>
        </w:rPr>
      </w:r>
    </w:p>
    <w:p w:rsidR="00000000" w:rsidDel="00000000" w:rsidP="00000000" w:rsidRDefault="00000000" w:rsidRPr="00000000" w14:paraId="00000047">
      <w:pPr>
        <w:spacing w:after="0" w:line="240" w:lineRule="auto"/>
        <w:rPr>
          <w:rFonts w:ascii="Gill Sans" w:cs="Gill Sans" w:eastAsia="Gill Sans" w:hAnsi="Gill Sans"/>
          <w:b w:val="1"/>
          <w:sz w:val="24"/>
          <w:szCs w:val="24"/>
          <w:u w:val="single"/>
        </w:rPr>
      </w:pPr>
      <w:r w:rsidDel="00000000" w:rsidR="00000000" w:rsidRPr="00000000">
        <w:rPr>
          <w:rtl w:val="0"/>
        </w:rPr>
      </w:r>
    </w:p>
    <w:p w:rsidR="00000000" w:rsidDel="00000000" w:rsidP="00000000" w:rsidRDefault="00000000" w:rsidRPr="00000000" w14:paraId="00000048">
      <w:pPr>
        <w:rPr>
          <w:rFonts w:ascii="Gill Sans" w:cs="Gill Sans" w:eastAsia="Gill Sans" w:hAnsi="Gill Sans"/>
          <w:b w:val="1"/>
          <w:sz w:val="24"/>
          <w:szCs w:val="24"/>
          <w:u w:val="single"/>
        </w:rPr>
      </w:pPr>
      <w:r w:rsidDel="00000000" w:rsidR="00000000" w:rsidRPr="00000000">
        <w:rPr/>
        <w:drawing>
          <wp:inline distB="0" distT="0" distL="0" distR="0">
            <wp:extent cx="5943600" cy="2757805"/>
            <wp:docPr id="16"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49">
      <w:pPr>
        <w:spacing w:after="0" w:line="240" w:lineRule="auto"/>
        <w:rPr>
          <w:rFonts w:ascii="Gill Sans" w:cs="Gill Sans" w:eastAsia="Gill Sans" w:hAnsi="Gill Sans"/>
          <w:sz w:val="24"/>
          <w:szCs w:val="24"/>
        </w:rPr>
      </w:pPr>
      <w:r w:rsidDel="00000000" w:rsidR="00000000" w:rsidRPr="00000000">
        <w:rPr>
          <w:rFonts w:ascii="Gill Sans" w:cs="Gill Sans" w:eastAsia="Gill Sans" w:hAnsi="Gill Sans"/>
          <w:b w:val="1"/>
          <w:sz w:val="24"/>
          <w:szCs w:val="24"/>
          <w:u w:val="single"/>
          <w:rtl w:val="0"/>
        </w:rPr>
        <w:t xml:space="preserve">CUSTOMER SERVICE </w:t>
      </w:r>
      <w:r w:rsidDel="00000000" w:rsidR="00000000" w:rsidRPr="00000000">
        <w:rPr>
          <w:rFonts w:ascii="Gill Sans" w:cs="Gill Sans" w:eastAsia="Gill Sans" w:hAnsi="Gill Sans"/>
          <w:sz w:val="24"/>
          <w:szCs w:val="24"/>
          <w:rtl w:val="0"/>
        </w:rPr>
        <w:t xml:space="preserve">– following the Fall NCG Meeting and based on the information presented, we’re tracking different metrics.  Here’s the summary (for all NCG Co-ops):</w:t>
      </w:r>
    </w:p>
    <w:p w:rsidR="00000000" w:rsidDel="00000000" w:rsidP="00000000" w:rsidRDefault="00000000" w:rsidRPr="00000000" w14:paraId="0000004A">
      <w:pPr>
        <w:spacing w:after="0" w:line="240" w:lineRule="auto"/>
        <w:rPr>
          <w:rFonts w:ascii="Gill Sans" w:cs="Gill Sans" w:eastAsia="Gill Sans" w:hAnsi="Gill Sans"/>
          <w:sz w:val="24"/>
          <w:szCs w:val="24"/>
          <w:highlight w:val="yellow"/>
        </w:rPr>
      </w:pPr>
      <w:r w:rsidDel="00000000" w:rsidR="00000000" w:rsidRPr="00000000">
        <w:rPr>
          <w:rtl w:val="0"/>
        </w:rPr>
      </w:r>
    </w:p>
    <w:p w:rsidR="00000000" w:rsidDel="00000000" w:rsidP="00000000" w:rsidRDefault="00000000" w:rsidRPr="00000000" w14:paraId="0000004B">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2680970"/>
            <wp:effectExtent b="0" l="0" r="0" t="0"/>
            <wp:docPr id="2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943600" cy="268097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2721610"/>
            <wp:effectExtent b="0" l="0" r="0" t="0"/>
            <wp:docPr id="2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272161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4E">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4F">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0">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119120"/>
            <wp:effectExtent b="0" l="0" r="0" t="0"/>
            <wp:docPr id="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11912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006725"/>
            <wp:effectExtent b="0" l="0" r="0" t="0"/>
            <wp:docPr id="2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30067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3">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4">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043555"/>
            <wp:effectExtent b="0" l="0" r="0" t="0"/>
            <wp:docPr id="2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04355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007995"/>
            <wp:effectExtent b="0" l="0" r="0" t="0"/>
            <wp:docPr id="2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943600" cy="300799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7">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107690"/>
            <wp:effectExtent b="0" l="0" r="0" t="0"/>
            <wp:docPr id="3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310769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9">
      <w:pPr>
        <w:spacing w:after="0" w:line="240" w:lineRule="auto"/>
        <w:rPr>
          <w:rFonts w:ascii="Gill Sans" w:cs="Gill Sans" w:eastAsia="Gill Sans" w:hAnsi="Gill Sans"/>
          <w:b w:val="1"/>
          <w:sz w:val="24"/>
          <w:szCs w:val="24"/>
          <w:highlight w:val="yellow"/>
          <w:u w:val="single"/>
        </w:rPr>
      </w:pPr>
      <w:r w:rsidDel="00000000" w:rsidR="00000000" w:rsidRPr="00000000">
        <w:rPr/>
        <w:drawing>
          <wp:inline distB="0" distT="0" distL="0" distR="0">
            <wp:extent cx="5943600" cy="3049905"/>
            <wp:effectExtent b="0" l="0" r="0" t="0"/>
            <wp:docPr id="2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04990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0" w:line="240" w:lineRule="auto"/>
        <w:rPr>
          <w:rFonts w:ascii="Gill Sans" w:cs="Gill Sans" w:eastAsia="Gill Sans" w:hAnsi="Gill Sans"/>
          <w:b w:val="1"/>
          <w:sz w:val="24"/>
          <w:szCs w:val="24"/>
          <w:highlight w:val="yellow"/>
          <w:u w:val="single"/>
        </w:rPr>
      </w:pPr>
      <w:r w:rsidDel="00000000" w:rsidR="00000000" w:rsidRPr="00000000">
        <w:rPr>
          <w:rtl w:val="0"/>
        </w:rPr>
      </w:r>
    </w:p>
    <w:p w:rsidR="00000000" w:rsidDel="00000000" w:rsidP="00000000" w:rsidRDefault="00000000" w:rsidRPr="00000000" w14:paraId="0000005B">
      <w:pPr>
        <w:spacing w:after="0" w:line="240" w:lineRule="auto"/>
        <w:rPr>
          <w:rFonts w:ascii="Gill Sans" w:cs="Gill Sans" w:eastAsia="Gill Sans" w:hAnsi="Gill Sans"/>
          <w:sz w:val="24"/>
          <w:szCs w:val="24"/>
        </w:rPr>
      </w:pPr>
      <w:r w:rsidDel="00000000" w:rsidR="00000000" w:rsidRPr="00000000">
        <w:rPr>
          <w:rFonts w:ascii="Gill Sans" w:cs="Gill Sans" w:eastAsia="Gill Sans" w:hAnsi="Gill Sans"/>
          <w:b w:val="1"/>
          <w:sz w:val="24"/>
          <w:szCs w:val="24"/>
          <w:u w:val="single"/>
          <w:rtl w:val="0"/>
        </w:rPr>
        <w:t xml:space="preserve">Key Drivers of Overall Satisfaction (OSAT):</w:t>
      </w:r>
      <w:r w:rsidDel="00000000" w:rsidR="00000000" w:rsidRPr="00000000">
        <w:rPr>
          <w:rFonts w:ascii="Gill Sans" w:cs="Gill Sans" w:eastAsia="Gill Sans" w:hAnsi="Gill Sans"/>
          <w:sz w:val="24"/>
          <w:szCs w:val="24"/>
          <w:rtl w:val="0"/>
        </w:rPr>
        <w:t xml:space="preserve"> availability of products, helpfulness of staff. And checkout experience</w:t>
      </w:r>
    </w:p>
    <w:p w:rsidR="00000000" w:rsidDel="00000000" w:rsidP="00000000" w:rsidRDefault="00000000" w:rsidRPr="00000000" w14:paraId="0000005C">
      <w:pPr>
        <w:spacing w:after="0" w:line="240" w:lineRule="auto"/>
        <w:rPr>
          <w:rFonts w:ascii="Gill Sans" w:cs="Gill Sans" w:eastAsia="Gill Sans" w:hAnsi="Gill Sans"/>
          <w:sz w:val="24"/>
          <w:szCs w:val="24"/>
          <w:highlight w:val="yellow"/>
          <w:u w:val="single"/>
        </w:rPr>
      </w:pPr>
      <w:r w:rsidDel="00000000" w:rsidR="00000000" w:rsidRPr="00000000">
        <w:rPr>
          <w:rtl w:val="0"/>
        </w:rPr>
      </w:r>
    </w:p>
    <w:p w:rsidR="00000000" w:rsidDel="00000000" w:rsidP="00000000" w:rsidRDefault="00000000" w:rsidRPr="00000000" w14:paraId="0000005D">
      <w:pPr>
        <w:spacing w:after="0" w:line="240" w:lineRule="auto"/>
        <w:rPr>
          <w:rFonts w:ascii="Gill Sans" w:cs="Gill Sans" w:eastAsia="Gill Sans" w:hAnsi="Gill Sans"/>
          <w:sz w:val="24"/>
          <w:szCs w:val="24"/>
          <w:highlight w:val="yellow"/>
          <w:u w:val="single"/>
        </w:rPr>
      </w:pPr>
      <w:r w:rsidDel="00000000" w:rsidR="00000000" w:rsidRPr="00000000">
        <w:rPr/>
        <w:drawing>
          <wp:inline distB="0" distT="0" distL="0" distR="0">
            <wp:extent cx="5943600" cy="2397125"/>
            <wp:docPr id="18"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05E">
      <w:pPr>
        <w:spacing w:after="0" w:line="240" w:lineRule="auto"/>
        <w:rPr>
          <w:rFonts w:ascii="Gill Sans" w:cs="Gill Sans" w:eastAsia="Gill Sans" w:hAnsi="Gill Sans"/>
          <w:sz w:val="24"/>
          <w:szCs w:val="24"/>
          <w:highlight w:val="yellow"/>
          <w:u w:val="single"/>
        </w:rPr>
      </w:pPr>
      <w:r w:rsidDel="00000000" w:rsidR="00000000" w:rsidRPr="00000000">
        <w:rPr>
          <w:rtl w:val="0"/>
        </w:rPr>
      </w:r>
    </w:p>
    <w:p w:rsidR="00000000" w:rsidDel="00000000" w:rsidP="00000000" w:rsidRDefault="00000000" w:rsidRPr="00000000" w14:paraId="0000005F">
      <w:pPr>
        <w:spacing w:after="0" w:line="240" w:lineRule="auto"/>
        <w:rPr>
          <w:rFonts w:ascii="Gill Sans" w:cs="Gill Sans" w:eastAsia="Gill Sans" w:hAnsi="Gill Sans"/>
          <w:sz w:val="24"/>
          <w:szCs w:val="24"/>
          <w:highlight w:val="yellow"/>
          <w:u w:val="single"/>
        </w:rPr>
      </w:pPr>
      <w:r w:rsidDel="00000000" w:rsidR="00000000" w:rsidRPr="00000000">
        <w:rPr/>
        <w:drawing>
          <wp:inline distB="0" distT="0" distL="0" distR="0">
            <wp:extent cx="5943600" cy="2400935"/>
            <wp:docPr id="19"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060">
      <w:pPr>
        <w:spacing w:after="0" w:line="240" w:lineRule="auto"/>
        <w:rPr>
          <w:rFonts w:ascii="Gill Sans" w:cs="Gill Sans" w:eastAsia="Gill Sans" w:hAnsi="Gill Sans"/>
          <w:sz w:val="24"/>
          <w:szCs w:val="24"/>
          <w:highlight w:val="yellow"/>
          <w:u w:val="single"/>
        </w:rPr>
      </w:pPr>
      <w:r w:rsidDel="00000000" w:rsidR="00000000" w:rsidRPr="00000000">
        <w:rPr>
          <w:rtl w:val="0"/>
        </w:rPr>
      </w:r>
    </w:p>
    <w:p w:rsidR="00000000" w:rsidDel="00000000" w:rsidP="00000000" w:rsidRDefault="00000000" w:rsidRPr="00000000" w14:paraId="00000061">
      <w:pPr>
        <w:spacing w:after="0" w:line="240" w:lineRule="auto"/>
        <w:rPr>
          <w:rFonts w:ascii="Gill Sans" w:cs="Gill Sans" w:eastAsia="Gill Sans" w:hAnsi="Gill Sans"/>
          <w:sz w:val="24"/>
          <w:szCs w:val="24"/>
          <w:highlight w:val="yellow"/>
          <w:u w:val="single"/>
        </w:rPr>
      </w:pPr>
      <w:r w:rsidDel="00000000" w:rsidR="00000000" w:rsidRPr="00000000">
        <w:rPr/>
        <w:drawing>
          <wp:inline distB="0" distT="0" distL="0" distR="0">
            <wp:extent cx="5943600" cy="2404110"/>
            <wp:docPr id="20"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062">
      <w:pPr>
        <w:spacing w:after="0" w:line="240" w:lineRule="auto"/>
        <w:rPr>
          <w:rFonts w:ascii="Gill Sans" w:cs="Gill Sans" w:eastAsia="Gill Sans" w:hAnsi="Gill Sans"/>
          <w:sz w:val="24"/>
          <w:szCs w:val="24"/>
          <w:highlight w:val="yellow"/>
          <w:u w:val="single"/>
        </w:rPr>
      </w:pPr>
      <w:r w:rsidDel="00000000" w:rsidR="00000000" w:rsidRPr="00000000">
        <w:rPr>
          <w:rtl w:val="0"/>
        </w:rPr>
      </w:r>
    </w:p>
    <w:p w:rsidR="00000000" w:rsidDel="00000000" w:rsidP="00000000" w:rsidRDefault="00000000" w:rsidRPr="00000000" w14:paraId="00000063">
      <w:pPr>
        <w:spacing w:after="0" w:line="240" w:lineRule="auto"/>
        <w:rPr>
          <w:rFonts w:ascii="Gill Sans" w:cs="Gill Sans" w:eastAsia="Gill Sans" w:hAnsi="Gill Sans"/>
          <w:sz w:val="24"/>
          <w:szCs w:val="24"/>
          <w:highlight w:val="yellow"/>
          <w:u w:val="single"/>
        </w:rPr>
      </w:pPr>
      <w:r w:rsidDel="00000000" w:rsidR="00000000" w:rsidRPr="00000000">
        <w:rPr/>
        <w:drawing>
          <wp:inline distB="0" distT="0" distL="0" distR="0">
            <wp:extent cx="5943600" cy="2390775"/>
            <wp:docPr id="21"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064">
      <w:pPr>
        <w:rPr>
          <w:rFonts w:ascii="Gill Sans" w:cs="Gill Sans" w:eastAsia="Gill Sans" w:hAnsi="Gill Sans"/>
          <w:sz w:val="28"/>
          <w:szCs w:val="28"/>
          <w:highlight w:val="yellow"/>
          <w:u w:val="single"/>
        </w:rPr>
      </w:pPr>
      <w:r w:rsidDel="00000000" w:rsidR="00000000" w:rsidRPr="00000000">
        <w:rPr>
          <w:rtl w:val="0"/>
        </w:rPr>
      </w:r>
    </w:p>
    <w:p w:rsidR="00000000" w:rsidDel="00000000" w:rsidP="00000000" w:rsidRDefault="00000000" w:rsidRPr="00000000" w14:paraId="00000065">
      <w:pPr>
        <w:rPr>
          <w:rFonts w:ascii="Gill Sans" w:cs="Gill Sans" w:eastAsia="Gill Sans" w:hAnsi="Gill Sans"/>
          <w:sz w:val="28"/>
          <w:szCs w:val="28"/>
          <w:highlight w:val="yellow"/>
          <w:u w:val="single"/>
        </w:rPr>
      </w:pPr>
      <w:r w:rsidDel="00000000" w:rsidR="00000000" w:rsidRPr="00000000">
        <w:rPr>
          <w:rtl w:val="0"/>
        </w:rPr>
      </w:r>
    </w:p>
    <w:p w:rsidR="00000000" w:rsidDel="00000000" w:rsidP="00000000" w:rsidRDefault="00000000" w:rsidRPr="00000000" w14:paraId="00000066">
      <w:pPr>
        <w:rPr>
          <w:rFonts w:ascii="Gill Sans" w:cs="Gill Sans" w:eastAsia="Gill Sans" w:hAnsi="Gill Sans"/>
          <w:sz w:val="28"/>
          <w:szCs w:val="28"/>
          <w:u w:val="single"/>
        </w:rPr>
      </w:pPr>
      <w:r w:rsidDel="00000000" w:rsidR="00000000" w:rsidRPr="00000000">
        <w:rPr>
          <w:rFonts w:ascii="Gill Sans" w:cs="Gill Sans" w:eastAsia="Gill Sans" w:hAnsi="Gill Sans"/>
          <w:sz w:val="28"/>
          <w:szCs w:val="28"/>
          <w:u w:val="single"/>
          <w:rtl w:val="0"/>
        </w:rPr>
        <w:t xml:space="preserve">Customer Experience Survey Comments </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Comments are attached in an excel spreadsheet</w:t>
      </w:r>
    </w:p>
    <w:p w:rsidR="00000000" w:rsidDel="00000000" w:rsidP="00000000" w:rsidRDefault="00000000" w:rsidRPr="00000000" w14:paraId="00000068">
      <w:pPr>
        <w:pBdr>
          <w:top w:color="000000" w:space="1" w:sz="4" w:val="single"/>
        </w:pBdr>
        <w:spacing w:after="0" w:line="240" w:lineRule="auto"/>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69">
      <w:pPr>
        <w:pBdr>
          <w:top w:color="000000" w:space="1" w:sz="4" w:val="single"/>
        </w:pBdr>
        <w:spacing w:after="0" w:line="240" w:lineRule="auto"/>
        <w:rPr>
          <w:rFonts w:ascii="Gill Sans" w:cs="Gill Sans" w:eastAsia="Gill Sans" w:hAnsi="Gill Sans"/>
          <w:b w:val="1"/>
          <w:sz w:val="28"/>
          <w:szCs w:val="28"/>
        </w:rPr>
      </w:pPr>
      <w:r w:rsidDel="00000000" w:rsidR="00000000" w:rsidRPr="00000000">
        <w:rPr>
          <w:rFonts w:ascii="Gill Sans" w:cs="Gill Sans" w:eastAsia="Gill Sans" w:hAnsi="Gill Sans"/>
          <w:b w:val="1"/>
          <w:sz w:val="28"/>
          <w:szCs w:val="28"/>
          <w:rtl w:val="0"/>
        </w:rPr>
        <w:t xml:space="preserve">Store Operations Updates</w:t>
      </w:r>
    </w:p>
    <w:p w:rsidR="00000000" w:rsidDel="00000000" w:rsidP="00000000" w:rsidRDefault="00000000" w:rsidRPr="00000000" w14:paraId="0000006A">
      <w:pPr>
        <w:spacing w:after="0" w:line="240" w:lineRule="auto"/>
        <w:rPr>
          <w:rFonts w:ascii="Gill Sans" w:cs="Gill Sans" w:eastAsia="Gill Sans" w:hAnsi="Gill Sans"/>
          <w:b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General</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The 2023 Employee Opinion Survey is complete. The Management Team is zooming with our consultant on November 8</w:t>
      </w:r>
      <w:r w:rsidDel="00000000" w:rsidR="00000000" w:rsidRPr="00000000">
        <w:rPr>
          <w:rFonts w:ascii="Gill Sans" w:cs="Gill Sans" w:eastAsia="Gill Sans" w:hAnsi="Gill Sans"/>
          <w:b w:val="0"/>
          <w:i w:val="0"/>
          <w:smallCaps w:val="0"/>
          <w:strike w:val="0"/>
          <w:color w:val="000000"/>
          <w:sz w:val="24"/>
          <w:szCs w:val="24"/>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to review the results.</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Market Study Update</w:t>
      </w:r>
    </w:p>
    <w:p w:rsidR="00000000" w:rsidDel="00000000" w:rsidP="00000000" w:rsidRDefault="00000000" w:rsidRPr="00000000" w14:paraId="0000006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Our study is complete and I’ve received the report.</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NCG offered a webinar in their DEI series titled “Visual Diversity” which I was able to participate in. We learned about “quick wins” versus making lasting change, which is a slow process. We also learned about some of the ways businesses falsely advertise the diversity of their staff (something we should never do) and how to prioritize inclusion and equity, rather than diversity, because they improve retention.</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New Hire orientation is making a comeback. Prior to COVID, we had half-day in-person orientation for all new employees. We’re looking forward to rekindling this onboarding experience starting in November.</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We had a visit from NCG’s Prepared Foods Specialist, Ken Wallace, earlier this month. He was impressed with our PF department recovery (he said things are looking fantastic) and organized a call for our team of buyers with our KeHE team. (KeHE is a distributor similar to UNFI)</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We are replacing our espresso machines both downtown and on campus.</w:t>
      </w:r>
    </w:p>
    <w:p w:rsidR="00000000" w:rsidDel="00000000" w:rsidP="00000000" w:rsidRDefault="00000000" w:rsidRPr="00000000" w14:paraId="00000073">
      <w:pPr>
        <w:spacing w:after="0" w:line="24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UNFI</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I’ve attached five documents from UNFI for reference that provide context about our business supply chain issues- these are only included in case you’re interested in more information:</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October Service Level Update</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October Category Insights – Natural</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October Category Insights – Conventional</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1"/>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2 Weekly Service Level Updates, Conventional and Natural</w:t>
      </w:r>
      <w:r w:rsidDel="00000000" w:rsidR="00000000" w:rsidRPr="00000000">
        <w:rPr>
          <w:rtl w:val="0"/>
        </w:rPr>
      </w:r>
    </w:p>
    <w:p w:rsidR="00000000" w:rsidDel="00000000" w:rsidP="00000000" w:rsidRDefault="00000000" w:rsidRPr="00000000" w14:paraId="00000079">
      <w:pPr>
        <w:spacing w:after="0" w:line="240" w:lineRule="auto"/>
        <w:rPr>
          <w:rFonts w:ascii="Gill Sans" w:cs="Gill Sans" w:eastAsia="Gill Sans" w:hAnsi="Gill Sans"/>
          <w:b w:val="1"/>
          <w:sz w:val="24"/>
          <w:szCs w:val="24"/>
          <w:highlight w:val="yellow"/>
        </w:rPr>
      </w:pPr>
      <w:r w:rsidDel="00000000" w:rsidR="00000000" w:rsidRPr="00000000">
        <w:rPr>
          <w:rtl w:val="0"/>
        </w:rPr>
      </w:r>
    </w:p>
    <w:p w:rsidR="00000000" w:rsidDel="00000000" w:rsidP="00000000" w:rsidRDefault="00000000" w:rsidRPr="00000000" w14:paraId="0000007A">
      <w:pPr>
        <w:spacing w:after="0" w:line="240" w:lineRule="auto"/>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Marketing Updates</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Moscowberfest was on 10/7 in the entertainment district. We sold brats, pretzels and a housemade beer cheese sauce. We sold out of everything about 30 minutes before the event was over. We’re calling that a huge success!</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Mark your calendars for Tasteful Thursdays in November and December and for our Wine, Cheese, and Chocolates tasting event on November 30</w:t>
      </w:r>
      <w:r w:rsidDel="00000000" w:rsidR="00000000" w:rsidRPr="00000000">
        <w:rPr>
          <w:rFonts w:ascii="Gill Sans" w:cs="Gill Sans" w:eastAsia="Gill Sans" w:hAnsi="Gill Sans"/>
          <w:b w:val="0"/>
          <w:i w:val="0"/>
          <w:smallCaps w:val="0"/>
          <w:strike w:val="0"/>
          <w:color w:val="000000"/>
          <w:sz w:val="24"/>
          <w:szCs w:val="24"/>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202021"/>
          <w:sz w:val="24"/>
          <w:szCs w:val="24"/>
          <w:highlight w:val="white"/>
          <w:u w:val="none"/>
          <w:vertAlign w:val="baseline"/>
          <w:rtl w:val="0"/>
        </w:rPr>
        <w:t xml:space="preserve">Marketing is collaborating with dynamic and creative students majoring in marketing communications at Washington State University (Crimson Creative) to help elevate our social media presence. With a shared objective of enhancing our brand visibility and engagement, this partnership will create fresh ideas and innovative strategies for our marketing efforts. Drawing from their academic knowledge and youthful perspective, these students can bring a new energy and help to connect with millennial and gen Z in meaningful ways.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202021"/>
          <w:sz w:val="24"/>
          <w:szCs w:val="24"/>
          <w:highlight w:val="white"/>
          <w:u w:val="none"/>
          <w:vertAlign w:val="baseline"/>
          <w:rtl w:val="0"/>
        </w:rPr>
        <w:t xml:space="preserve">The students first started out by conducting a media audit (looking at our Facebook and Instagram accounts).  Based on their feedback, they recommended starting by creating store tour videos, ranging from 15 seconds to 90 seconds. By providing a visual journey through our store, potential customers can get a firsthand look that Moscow Food Co-op is not just a store but a hub for community, sustainability, and delicious food. The student should have the video ready November 6th. </w:t>
      </w:r>
      <w:r w:rsidDel="00000000" w:rsidR="00000000" w:rsidRPr="00000000">
        <w:rPr>
          <w:rtl w:val="0"/>
        </w:rPr>
      </w:r>
    </w:p>
    <w:p w:rsidR="00000000" w:rsidDel="00000000" w:rsidP="00000000" w:rsidRDefault="00000000" w:rsidRPr="00000000" w14:paraId="0000007F">
      <w:pPr>
        <w:spacing w:after="0" w:line="240" w:lineRule="auto"/>
        <w:rPr>
          <w:rFonts w:ascii="Gill Sans" w:cs="Gill Sans" w:eastAsia="Gill Sans" w:hAnsi="Gill Sans"/>
          <w:b w:val="1"/>
          <w:sz w:val="24"/>
          <w:szCs w:val="24"/>
        </w:rPr>
      </w:pPr>
      <w:r w:rsidDel="00000000" w:rsidR="00000000" w:rsidRPr="00000000">
        <w:rPr>
          <w:rtl w:val="0"/>
        </w:rPr>
      </w:r>
    </w:p>
    <w:sectPr>
      <w:headerReference r:id="rId22" w:type="default"/>
      <w:footerReference r:id="rId23"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ill Sans" w:cs="Gill Sans" w:eastAsia="Gill Sans" w:hAnsi="Gill Sans"/>
        <w:b w:val="0"/>
        <w:i w:val="0"/>
        <w:smallCaps w:val="0"/>
        <w:strike w:val="0"/>
        <w:color w:val="000000"/>
        <w:sz w:val="20"/>
        <w:szCs w:val="20"/>
        <w:u w:val="none"/>
        <w:shd w:fill="auto" w:val="clear"/>
        <w:vertAlign w:val="baseline"/>
      </w:rPr>
    </w:pPr>
    <w:r w:rsidDel="00000000" w:rsidR="00000000" w:rsidRPr="00000000">
      <w:rPr>
        <w:rFonts w:ascii="Gill Sans" w:cs="Gill Sans" w:eastAsia="Gill Sans" w:hAnsi="Gill Sans"/>
        <w:b w:val="0"/>
        <w:i w:val="0"/>
        <w:smallCaps w:val="0"/>
        <w:strike w:val="0"/>
        <w:color w:val="000000"/>
        <w:sz w:val="20"/>
        <w:szCs w:val="20"/>
        <w:u w:val="none"/>
        <w:shd w:fill="auto" w:val="clear"/>
        <w:vertAlign w:val="baseline"/>
        <w:rtl w:val="0"/>
      </w:rPr>
      <w:t xml:space="preserve">November 2023 FYI</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E2293C"/>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5781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57811"/>
    <w:rPr>
      <w:rFonts w:ascii="Tahoma" w:cs="Tahoma" w:hAnsi="Tahoma"/>
      <w:sz w:val="16"/>
      <w:szCs w:val="16"/>
    </w:rPr>
  </w:style>
  <w:style w:type="paragraph" w:styleId="Header">
    <w:name w:val="header"/>
    <w:basedOn w:val="Normal"/>
    <w:link w:val="HeaderChar"/>
    <w:uiPriority w:val="99"/>
    <w:unhideWhenUsed w:val="1"/>
    <w:rsid w:val="00BF4C40"/>
    <w:pPr>
      <w:tabs>
        <w:tab w:val="center" w:pos="4680"/>
        <w:tab w:val="right" w:pos="9360"/>
      </w:tabs>
      <w:spacing w:after="0" w:line="240" w:lineRule="auto"/>
    </w:pPr>
  </w:style>
  <w:style w:type="character" w:styleId="HeaderChar" w:customStyle="1">
    <w:name w:val="Header Char"/>
    <w:basedOn w:val="DefaultParagraphFont"/>
    <w:link w:val="Header"/>
    <w:uiPriority w:val="99"/>
    <w:rsid w:val="00BF4C40"/>
  </w:style>
  <w:style w:type="paragraph" w:styleId="Footer">
    <w:name w:val="footer"/>
    <w:basedOn w:val="Normal"/>
    <w:link w:val="FooterChar"/>
    <w:uiPriority w:val="99"/>
    <w:unhideWhenUsed w:val="1"/>
    <w:rsid w:val="00BF4C40"/>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4C40"/>
  </w:style>
  <w:style w:type="paragraph" w:styleId="ListParagraph">
    <w:name w:val="List Paragraph"/>
    <w:basedOn w:val="Normal"/>
    <w:uiPriority w:val="34"/>
    <w:qFormat w:val="1"/>
    <w:rsid w:val="00BF4C40"/>
    <w:pPr>
      <w:ind w:left="720"/>
      <w:contextualSpacing w:val="1"/>
    </w:pPr>
  </w:style>
  <w:style w:type="paragraph" w:styleId="NormalWeb">
    <w:name w:val="Normal (Web)"/>
    <w:basedOn w:val="Normal"/>
    <w:uiPriority w:val="99"/>
    <w:unhideWhenUsed w:val="1"/>
    <w:rsid w:val="000B13D6"/>
    <w:pPr>
      <w:spacing w:after="100" w:afterAutospacing="1" w:before="100" w:beforeAutospacing="1" w:line="240" w:lineRule="auto"/>
    </w:pPr>
    <w:rPr>
      <w:rFonts w:ascii="Times New Roman" w:cs="Times New Roman" w:eastAsia="Times New Roman" w:hAnsi="Times New Roman"/>
      <w:sz w:val="24"/>
      <w:szCs w:val="24"/>
    </w:rPr>
  </w:style>
  <w:style w:type="character" w:styleId="il" w:customStyle="1">
    <w:name w:val="il"/>
    <w:basedOn w:val="DefaultParagraphFont"/>
    <w:rsid w:val="00066FE5"/>
  </w:style>
  <w:style w:type="character" w:styleId="Heading3Char" w:customStyle="1">
    <w:name w:val="Heading 3 Char"/>
    <w:basedOn w:val="DefaultParagraphFont"/>
    <w:link w:val="Heading3"/>
    <w:uiPriority w:val="9"/>
    <w:rsid w:val="00E2293C"/>
    <w:rPr>
      <w:rFonts w:ascii="Times New Roman" w:cs="Times New Roman" w:eastAsia="Times New Roman" w:hAnsi="Times New Roman"/>
      <w:b w:val="1"/>
      <w:bCs w:val="1"/>
      <w:sz w:val="27"/>
      <w:szCs w:val="27"/>
    </w:rPr>
  </w:style>
  <w:style w:type="table" w:styleId="LightShading">
    <w:name w:val="Light Shading"/>
    <w:basedOn w:val="TableNormal"/>
    <w:uiPriority w:val="60"/>
    <w:rsid w:val="002A2DF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3">
    <w:name w:val="Light Shading Accent 3"/>
    <w:basedOn w:val="TableNormal"/>
    <w:uiPriority w:val="60"/>
    <w:rsid w:val="00F27128"/>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character" w:styleId="Hyperlink">
    <w:name w:val="Hyperlink"/>
    <w:basedOn w:val="DefaultParagraphFont"/>
    <w:uiPriority w:val="99"/>
    <w:unhideWhenUsed w:val="1"/>
    <w:rsid w:val="00882B8E"/>
    <w:rPr>
      <w:color w:val="0000ff" w:themeColor="hyperlink"/>
      <w:u w:val="single"/>
    </w:rPr>
  </w:style>
  <w:style w:type="table" w:styleId="MediumGrid3-Accent3">
    <w:name w:val="Medium Grid 3 Accent 3"/>
    <w:basedOn w:val="TableNormal"/>
    <w:uiPriority w:val="69"/>
    <w:rsid w:val="005B07A2"/>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Shading1-Accent3">
    <w:name w:val="Medium Shading 1 Accent 3"/>
    <w:basedOn w:val="TableNormal"/>
    <w:uiPriority w:val="63"/>
    <w:rsid w:val="00275DE6"/>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character" w:styleId="FollowedHyperlink">
    <w:name w:val="FollowedHyperlink"/>
    <w:basedOn w:val="DefaultParagraphFont"/>
    <w:uiPriority w:val="99"/>
    <w:semiHidden w:val="1"/>
    <w:unhideWhenUsed w:val="1"/>
    <w:rsid w:val="003F42E9"/>
    <w:rPr>
      <w:color w:val="800080" w:themeColor="followedHyperlink"/>
      <w:u w:val="single"/>
    </w:rPr>
  </w:style>
  <w:style w:type="character" w:styleId="Emphasis">
    <w:name w:val="Emphasis"/>
    <w:basedOn w:val="DefaultParagraphFont"/>
    <w:uiPriority w:val="20"/>
    <w:qFormat w:val="1"/>
    <w:rsid w:val="006643C7"/>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chart" Target="charts/chart6.xml"/><Relationship Id="rId13" Type="http://schemas.openxmlformats.org/officeDocument/2006/relationships/image" Target="media/image1.png"/><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xm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chart" Target="charts/chart4.xml"/><Relationship Id="rId6" Type="http://schemas.openxmlformats.org/officeDocument/2006/relationships/customXml" Target="../customXML/item1.xml"/><Relationship Id="rId18" Type="http://schemas.openxmlformats.org/officeDocument/2006/relationships/chart" Target="charts/chart3.xml"/><Relationship Id="rId7" Type="http://schemas.openxmlformats.org/officeDocument/2006/relationships/image" Target="media/image7.png"/><Relationship Id="rId8" Type="http://schemas.openxmlformats.org/officeDocument/2006/relationships/chart" Target="charts/chart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MFCS02\Admin\GM\Monitoring%20Report%20Support%20Data%202023%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FCS02\Admin\GM\Monitoring%20Report%20Support%20Data%202023%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FCS02\Admin\GM\Monitoring%20Report%20Support%20Data%202023%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FCS02\Admin\GM\Monitoring%20Report%20Support%20Data%202023%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FCS02\Admin\GM\Monitoring%20Report%20Support%20Data%202023%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New Co-op Owners</a:t>
            </a:r>
          </a:p>
        </c:rich>
      </c:tx>
      <c:layout/>
      <c:overlay val="0"/>
    </c:title>
    <c:autoTitleDeleted val="0"/>
    <c:plotArea>
      <c:layout/>
      <c:barChart>
        <c:barDir val="col"/>
        <c:grouping val="clustered"/>
        <c:varyColors val="0"/>
        <c:ser>
          <c:idx val="0"/>
          <c:order val="0"/>
          <c:tx>
            <c:strRef>
              <c:f>FYI!$B$15</c:f>
              <c:strCache>
                <c:ptCount val="1"/>
                <c:pt idx="0">
                  <c:v>2021</c:v>
                </c:pt>
              </c:strCache>
            </c:strRef>
          </c:tx>
          <c:invertIfNegative val="0"/>
          <c:cat>
            <c:strRef>
              <c:f>FYI!$E$10</c:f>
              <c:strCache>
                <c:ptCount val="1"/>
                <c:pt idx="0">
                  <c:v>QTR 3</c:v>
                </c:pt>
              </c:strCache>
            </c:strRef>
          </c:cat>
          <c:val>
            <c:numRef>
              <c:f>FYI!$E$15</c:f>
              <c:numCache>
                <c:formatCode>General</c:formatCode>
                <c:ptCount val="1"/>
                <c:pt idx="0">
                  <c:v>296</c:v>
                </c:pt>
              </c:numCache>
            </c:numRef>
          </c:val>
        </c:ser>
        <c:ser>
          <c:idx val="1"/>
          <c:order val="1"/>
          <c:tx>
            <c:strRef>
              <c:f>FYI!$B$16</c:f>
              <c:strCache>
                <c:ptCount val="1"/>
                <c:pt idx="0">
                  <c:v>2022</c:v>
                </c:pt>
              </c:strCache>
            </c:strRef>
          </c:tx>
          <c:invertIfNegative val="0"/>
          <c:cat>
            <c:strRef>
              <c:f>FYI!$E$10</c:f>
              <c:strCache>
                <c:ptCount val="1"/>
                <c:pt idx="0">
                  <c:v>QTR 3</c:v>
                </c:pt>
              </c:strCache>
            </c:strRef>
          </c:cat>
          <c:val>
            <c:numRef>
              <c:f>FYI!$E$16</c:f>
              <c:numCache>
                <c:formatCode>General</c:formatCode>
                <c:ptCount val="1"/>
                <c:pt idx="0">
                  <c:v>251</c:v>
                </c:pt>
              </c:numCache>
            </c:numRef>
          </c:val>
        </c:ser>
        <c:ser>
          <c:idx val="2"/>
          <c:order val="2"/>
          <c:tx>
            <c:strRef>
              <c:f>FYI!$B$17</c:f>
              <c:strCache>
                <c:ptCount val="1"/>
                <c:pt idx="0">
                  <c:v>2023</c:v>
                </c:pt>
              </c:strCache>
            </c:strRef>
          </c:tx>
          <c:invertIfNegative val="0"/>
          <c:cat>
            <c:strRef>
              <c:f>FYI!$E$10</c:f>
              <c:strCache>
                <c:ptCount val="1"/>
                <c:pt idx="0">
                  <c:v>QTR 3</c:v>
                </c:pt>
              </c:strCache>
            </c:strRef>
          </c:cat>
          <c:val>
            <c:numRef>
              <c:f>FYI!$E$17</c:f>
              <c:numCache>
                <c:formatCode>General</c:formatCode>
                <c:ptCount val="1"/>
                <c:pt idx="0">
                  <c:v>303</c:v>
                </c:pt>
              </c:numCache>
            </c:numRef>
          </c:val>
        </c:ser>
        <c:dLbls>
          <c:showLegendKey val="0"/>
          <c:showVal val="0"/>
          <c:showCatName val="0"/>
          <c:showSerName val="0"/>
          <c:showPercent val="0"/>
          <c:showBubbleSize val="0"/>
        </c:dLbls>
        <c:gapWidth val="75"/>
        <c:overlap val="-25"/>
        <c:axId val="123627008"/>
        <c:axId val="123628544"/>
      </c:barChart>
      <c:catAx>
        <c:axId val="123627008"/>
        <c:scaling>
          <c:orientation val="minMax"/>
        </c:scaling>
        <c:delete val="0"/>
        <c:axPos val="b"/>
        <c:numFmt formatCode="General" sourceLinked="1"/>
        <c:majorTickMark val="none"/>
        <c:minorTickMark val="none"/>
        <c:tickLblPos val="nextTo"/>
        <c:crossAx val="123628544"/>
        <c:crosses val="autoZero"/>
        <c:auto val="1"/>
        <c:lblAlgn val="ctr"/>
        <c:lblOffset val="100"/>
        <c:noMultiLvlLbl val="0"/>
      </c:catAx>
      <c:valAx>
        <c:axId val="123628544"/>
        <c:scaling>
          <c:orientation val="minMax"/>
        </c:scaling>
        <c:delete val="0"/>
        <c:axPos val="l"/>
        <c:majorGridlines/>
        <c:numFmt formatCode="General" sourceLinked="1"/>
        <c:majorTickMark val="none"/>
        <c:minorTickMark val="none"/>
        <c:tickLblPos val="nextTo"/>
        <c:spPr>
          <a:ln w="9525">
            <a:noFill/>
          </a:ln>
        </c:spPr>
        <c:crossAx val="12362700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New Co-op Owners</a:t>
            </a:r>
          </a:p>
        </c:rich>
      </c:tx>
      <c:layout/>
      <c:overlay val="0"/>
    </c:title>
    <c:autoTitleDeleted val="0"/>
    <c:plotArea>
      <c:layout/>
      <c:barChart>
        <c:barDir val="col"/>
        <c:grouping val="clustered"/>
        <c:varyColors val="0"/>
        <c:ser>
          <c:idx val="0"/>
          <c:order val="0"/>
          <c:tx>
            <c:strRef>
              <c:f>FYI!$B$5</c:f>
              <c:strCache>
                <c:ptCount val="1"/>
                <c:pt idx="0">
                  <c:v>2019</c:v>
                </c:pt>
              </c:strCache>
            </c:strRef>
          </c:tx>
          <c:invertIfNegative val="0"/>
          <c:cat>
            <c:strRef>
              <c:f>FYI!$K$2</c:f>
              <c:strCache>
                <c:ptCount val="1"/>
                <c:pt idx="0">
                  <c:v>Sep</c:v>
                </c:pt>
              </c:strCache>
            </c:strRef>
          </c:cat>
          <c:val>
            <c:numRef>
              <c:f>FYI!$K$5</c:f>
              <c:numCache>
                <c:formatCode>General</c:formatCode>
                <c:ptCount val="1"/>
                <c:pt idx="0">
                  <c:v>171</c:v>
                </c:pt>
              </c:numCache>
            </c:numRef>
          </c:val>
        </c:ser>
        <c:ser>
          <c:idx val="1"/>
          <c:order val="1"/>
          <c:tx>
            <c:strRef>
              <c:f>FYI!$B$6</c:f>
              <c:strCache>
                <c:ptCount val="1"/>
                <c:pt idx="0">
                  <c:v>2020</c:v>
                </c:pt>
              </c:strCache>
            </c:strRef>
          </c:tx>
          <c:invertIfNegative val="0"/>
          <c:cat>
            <c:strRef>
              <c:f>FYI!$K$2</c:f>
              <c:strCache>
                <c:ptCount val="1"/>
                <c:pt idx="0">
                  <c:v>Sep</c:v>
                </c:pt>
              </c:strCache>
            </c:strRef>
          </c:cat>
          <c:val>
            <c:numRef>
              <c:f>FYI!$K$6</c:f>
              <c:numCache>
                <c:formatCode>General</c:formatCode>
                <c:ptCount val="1"/>
                <c:pt idx="0">
                  <c:v>188</c:v>
                </c:pt>
              </c:numCache>
            </c:numRef>
          </c:val>
        </c:ser>
        <c:ser>
          <c:idx val="2"/>
          <c:order val="2"/>
          <c:tx>
            <c:strRef>
              <c:f>FYI!$B$7</c:f>
              <c:strCache>
                <c:ptCount val="1"/>
                <c:pt idx="0">
                  <c:v>2021</c:v>
                </c:pt>
              </c:strCache>
            </c:strRef>
          </c:tx>
          <c:invertIfNegative val="0"/>
          <c:cat>
            <c:strRef>
              <c:f>FYI!$K$2</c:f>
              <c:strCache>
                <c:ptCount val="1"/>
                <c:pt idx="0">
                  <c:v>Sep</c:v>
                </c:pt>
              </c:strCache>
            </c:strRef>
          </c:cat>
          <c:val>
            <c:numRef>
              <c:f>FYI!$K$7</c:f>
              <c:numCache>
                <c:formatCode>General</c:formatCode>
                <c:ptCount val="1"/>
                <c:pt idx="0">
                  <c:v>104</c:v>
                </c:pt>
              </c:numCache>
            </c:numRef>
          </c:val>
        </c:ser>
        <c:ser>
          <c:idx val="3"/>
          <c:order val="3"/>
          <c:tx>
            <c:strRef>
              <c:f>FYI!$B$8</c:f>
              <c:strCache>
                <c:ptCount val="1"/>
                <c:pt idx="0">
                  <c:v>2022</c:v>
                </c:pt>
              </c:strCache>
            </c:strRef>
          </c:tx>
          <c:invertIfNegative val="0"/>
          <c:cat>
            <c:strRef>
              <c:f>FYI!$K$2</c:f>
              <c:strCache>
                <c:ptCount val="1"/>
                <c:pt idx="0">
                  <c:v>Sep</c:v>
                </c:pt>
              </c:strCache>
            </c:strRef>
          </c:cat>
          <c:val>
            <c:numRef>
              <c:f>FYI!$K$8</c:f>
              <c:numCache>
                <c:formatCode>General</c:formatCode>
                <c:ptCount val="1"/>
                <c:pt idx="0">
                  <c:v>56</c:v>
                </c:pt>
              </c:numCache>
            </c:numRef>
          </c:val>
        </c:ser>
        <c:ser>
          <c:idx val="4"/>
          <c:order val="4"/>
          <c:tx>
            <c:strRef>
              <c:f>FYI!$B$9</c:f>
              <c:strCache>
                <c:ptCount val="1"/>
                <c:pt idx="0">
                  <c:v>2023</c:v>
                </c:pt>
              </c:strCache>
            </c:strRef>
          </c:tx>
          <c:invertIfNegative val="0"/>
          <c:cat>
            <c:strRef>
              <c:f>FYI!$K$2</c:f>
              <c:strCache>
                <c:ptCount val="1"/>
                <c:pt idx="0">
                  <c:v>Sep</c:v>
                </c:pt>
              </c:strCache>
            </c:strRef>
          </c:cat>
          <c:val>
            <c:numRef>
              <c:f>FYI!$K$9</c:f>
              <c:numCache>
                <c:formatCode>General</c:formatCode>
                <c:ptCount val="1"/>
                <c:pt idx="0">
                  <c:v>81</c:v>
                </c:pt>
              </c:numCache>
            </c:numRef>
          </c:val>
        </c:ser>
        <c:dLbls>
          <c:showLegendKey val="0"/>
          <c:showVal val="0"/>
          <c:showCatName val="0"/>
          <c:showSerName val="0"/>
          <c:showPercent val="0"/>
          <c:showBubbleSize val="0"/>
        </c:dLbls>
        <c:gapWidth val="75"/>
        <c:overlap val="-25"/>
        <c:axId val="187754752"/>
        <c:axId val="123604992"/>
      </c:barChart>
      <c:catAx>
        <c:axId val="187754752"/>
        <c:scaling>
          <c:orientation val="minMax"/>
        </c:scaling>
        <c:delete val="0"/>
        <c:axPos val="b"/>
        <c:numFmt formatCode="General" sourceLinked="1"/>
        <c:majorTickMark val="none"/>
        <c:minorTickMark val="none"/>
        <c:tickLblPos val="nextTo"/>
        <c:crossAx val="123604992"/>
        <c:crosses val="autoZero"/>
        <c:auto val="1"/>
        <c:lblAlgn val="ctr"/>
        <c:lblOffset val="100"/>
        <c:noMultiLvlLbl val="0"/>
      </c:catAx>
      <c:valAx>
        <c:axId val="123604992"/>
        <c:scaling>
          <c:orientation val="minMax"/>
        </c:scaling>
        <c:delete val="0"/>
        <c:axPos val="l"/>
        <c:majorGridlines/>
        <c:numFmt formatCode="General" sourceLinked="1"/>
        <c:majorTickMark val="none"/>
        <c:minorTickMark val="none"/>
        <c:tickLblPos val="nextTo"/>
        <c:crossAx val="187754752"/>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Availability of Products</a:t>
            </a:r>
          </a:p>
        </c:rich>
      </c:tx>
      <c:layout/>
      <c:overlay val="0"/>
    </c:title>
    <c:autoTitleDeleted val="0"/>
    <c:plotArea>
      <c:layout/>
      <c:lineChart>
        <c:grouping val="standard"/>
        <c:varyColors val="0"/>
        <c:ser>
          <c:idx val="0"/>
          <c:order val="0"/>
          <c:tx>
            <c:strRef>
              <c:f>FYI!$AF$16</c:f>
              <c:strCache>
                <c:ptCount val="1"/>
                <c:pt idx="0">
                  <c:v>2022</c:v>
                </c:pt>
              </c:strCache>
            </c:strRef>
          </c:tx>
          <c:cat>
            <c:strRef>
              <c:f>FYI!$AC$17:$AC$28</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FYI!$AF$17:$AF$28</c:f>
              <c:numCache>
                <c:formatCode>0%</c:formatCode>
                <c:ptCount val="12"/>
                <c:pt idx="0">
                  <c:v>0.36</c:v>
                </c:pt>
                <c:pt idx="1">
                  <c:v>0.41</c:v>
                </c:pt>
                <c:pt idx="2">
                  <c:v>0.56999999999999995</c:v>
                </c:pt>
                <c:pt idx="3">
                  <c:v>0.49</c:v>
                </c:pt>
                <c:pt idx="4">
                  <c:v>0.53</c:v>
                </c:pt>
                <c:pt idx="5">
                  <c:v>0.5</c:v>
                </c:pt>
                <c:pt idx="6">
                  <c:v>0.54</c:v>
                </c:pt>
                <c:pt idx="7">
                  <c:v>0.52</c:v>
                </c:pt>
                <c:pt idx="8">
                  <c:v>0.5</c:v>
                </c:pt>
                <c:pt idx="9">
                  <c:v>0.54</c:v>
                </c:pt>
                <c:pt idx="10">
                  <c:v>0.45</c:v>
                </c:pt>
                <c:pt idx="11">
                  <c:v>0.56999999999999995</c:v>
                </c:pt>
              </c:numCache>
            </c:numRef>
          </c:val>
          <c:smooth val="0"/>
        </c:ser>
        <c:ser>
          <c:idx val="1"/>
          <c:order val="1"/>
          <c:tx>
            <c:strRef>
              <c:f>FYI!$AG$16</c:f>
              <c:strCache>
                <c:ptCount val="1"/>
                <c:pt idx="0">
                  <c:v>2023</c:v>
                </c:pt>
              </c:strCache>
            </c:strRef>
          </c:tx>
          <c:cat>
            <c:strRef>
              <c:f>FYI!$AC$17:$AC$28</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FYI!$AG$17:$AG$28</c:f>
              <c:numCache>
                <c:formatCode>0%</c:formatCode>
                <c:ptCount val="12"/>
                <c:pt idx="0">
                  <c:v>0.42</c:v>
                </c:pt>
                <c:pt idx="1">
                  <c:v>0.47</c:v>
                </c:pt>
                <c:pt idx="2">
                  <c:v>0.56000000000000005</c:v>
                </c:pt>
                <c:pt idx="3">
                  <c:v>0.56000000000000005</c:v>
                </c:pt>
                <c:pt idx="4">
                  <c:v>0.46</c:v>
                </c:pt>
                <c:pt idx="5">
                  <c:v>0.55000000000000004</c:v>
                </c:pt>
                <c:pt idx="6">
                  <c:v>0.63</c:v>
                </c:pt>
                <c:pt idx="7">
                  <c:v>0.46</c:v>
                </c:pt>
                <c:pt idx="8">
                  <c:v>0.47</c:v>
                </c:pt>
              </c:numCache>
            </c:numRef>
          </c:val>
          <c:smooth val="0"/>
        </c:ser>
        <c:dLbls>
          <c:showLegendKey val="0"/>
          <c:showVal val="0"/>
          <c:showCatName val="0"/>
          <c:showSerName val="0"/>
          <c:showPercent val="0"/>
          <c:showBubbleSize val="0"/>
        </c:dLbls>
        <c:marker val="1"/>
        <c:smooth val="0"/>
        <c:axId val="137210880"/>
        <c:axId val="137249536"/>
      </c:lineChart>
      <c:catAx>
        <c:axId val="137210880"/>
        <c:scaling>
          <c:orientation val="minMax"/>
        </c:scaling>
        <c:delete val="0"/>
        <c:axPos val="b"/>
        <c:majorTickMark val="none"/>
        <c:minorTickMark val="none"/>
        <c:tickLblPos val="nextTo"/>
        <c:crossAx val="137249536"/>
        <c:crosses val="autoZero"/>
        <c:auto val="1"/>
        <c:lblAlgn val="ctr"/>
        <c:lblOffset val="100"/>
        <c:noMultiLvlLbl val="0"/>
      </c:catAx>
      <c:valAx>
        <c:axId val="137249536"/>
        <c:scaling>
          <c:orientation val="minMax"/>
        </c:scaling>
        <c:delete val="0"/>
        <c:axPos val="l"/>
        <c:majorGridlines/>
        <c:numFmt formatCode="0%" sourceLinked="1"/>
        <c:majorTickMark val="none"/>
        <c:minorTickMark val="none"/>
        <c:tickLblPos val="nextTo"/>
        <c:crossAx val="13721088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Helpfulness of Staff</a:t>
            </a:r>
          </a:p>
        </c:rich>
      </c:tx>
      <c:layout/>
      <c:overlay val="0"/>
    </c:title>
    <c:autoTitleDeleted val="0"/>
    <c:plotArea>
      <c:layout/>
      <c:lineChart>
        <c:grouping val="standard"/>
        <c:varyColors val="0"/>
        <c:ser>
          <c:idx val="0"/>
          <c:order val="0"/>
          <c:tx>
            <c:strRef>
              <c:f>FYI!$AF$31</c:f>
              <c:strCache>
                <c:ptCount val="1"/>
                <c:pt idx="0">
                  <c:v>2022</c:v>
                </c:pt>
              </c:strCache>
            </c:strRef>
          </c:tx>
          <c:cat>
            <c:strRef>
              <c:f>FYI!$AC$32:$AC$43</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FYI!$AF$32:$AF$43</c:f>
              <c:numCache>
                <c:formatCode>0%</c:formatCode>
                <c:ptCount val="12"/>
                <c:pt idx="0">
                  <c:v>0.74</c:v>
                </c:pt>
                <c:pt idx="1">
                  <c:v>0.77</c:v>
                </c:pt>
                <c:pt idx="2">
                  <c:v>0.79</c:v>
                </c:pt>
                <c:pt idx="3">
                  <c:v>0.72</c:v>
                </c:pt>
                <c:pt idx="4">
                  <c:v>0.83</c:v>
                </c:pt>
                <c:pt idx="5">
                  <c:v>0.75</c:v>
                </c:pt>
                <c:pt idx="6">
                  <c:v>0.68</c:v>
                </c:pt>
                <c:pt idx="7">
                  <c:v>0.81</c:v>
                </c:pt>
                <c:pt idx="8">
                  <c:v>0.78</c:v>
                </c:pt>
                <c:pt idx="9">
                  <c:v>0.75</c:v>
                </c:pt>
                <c:pt idx="10">
                  <c:v>0.74</c:v>
                </c:pt>
                <c:pt idx="11">
                  <c:v>0.8</c:v>
                </c:pt>
              </c:numCache>
            </c:numRef>
          </c:val>
          <c:smooth val="0"/>
        </c:ser>
        <c:ser>
          <c:idx val="1"/>
          <c:order val="1"/>
          <c:tx>
            <c:strRef>
              <c:f>FYI!$AG$31</c:f>
              <c:strCache>
                <c:ptCount val="1"/>
                <c:pt idx="0">
                  <c:v>2023</c:v>
                </c:pt>
              </c:strCache>
            </c:strRef>
          </c:tx>
          <c:cat>
            <c:strRef>
              <c:f>FYI!$AC$32:$AC$43</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FYI!$AG$32:$AG$43</c:f>
              <c:numCache>
                <c:formatCode>0%</c:formatCode>
                <c:ptCount val="12"/>
                <c:pt idx="0">
                  <c:v>0.79</c:v>
                </c:pt>
                <c:pt idx="1">
                  <c:v>0.74</c:v>
                </c:pt>
                <c:pt idx="2">
                  <c:v>0.72</c:v>
                </c:pt>
                <c:pt idx="3">
                  <c:v>0.75</c:v>
                </c:pt>
                <c:pt idx="4">
                  <c:v>0.74</c:v>
                </c:pt>
                <c:pt idx="5">
                  <c:v>0.78</c:v>
                </c:pt>
                <c:pt idx="6">
                  <c:v>0.81</c:v>
                </c:pt>
                <c:pt idx="7">
                  <c:v>0.63</c:v>
                </c:pt>
                <c:pt idx="8">
                  <c:v>0.62</c:v>
                </c:pt>
              </c:numCache>
            </c:numRef>
          </c:val>
          <c:smooth val="0"/>
        </c:ser>
        <c:dLbls>
          <c:showLegendKey val="0"/>
          <c:showVal val="0"/>
          <c:showCatName val="0"/>
          <c:showSerName val="0"/>
          <c:showPercent val="0"/>
          <c:showBubbleSize val="0"/>
        </c:dLbls>
        <c:marker val="1"/>
        <c:smooth val="0"/>
        <c:axId val="139512064"/>
        <c:axId val="139514624"/>
      </c:lineChart>
      <c:catAx>
        <c:axId val="139512064"/>
        <c:scaling>
          <c:orientation val="minMax"/>
        </c:scaling>
        <c:delete val="0"/>
        <c:axPos val="b"/>
        <c:majorTickMark val="none"/>
        <c:minorTickMark val="none"/>
        <c:tickLblPos val="nextTo"/>
        <c:crossAx val="139514624"/>
        <c:crosses val="autoZero"/>
        <c:auto val="1"/>
        <c:lblAlgn val="ctr"/>
        <c:lblOffset val="100"/>
        <c:noMultiLvlLbl val="0"/>
      </c:catAx>
      <c:valAx>
        <c:axId val="139514624"/>
        <c:scaling>
          <c:orientation val="minMax"/>
        </c:scaling>
        <c:delete val="0"/>
        <c:axPos val="l"/>
        <c:majorGridlines/>
        <c:numFmt formatCode="0%" sourceLinked="1"/>
        <c:majorTickMark val="none"/>
        <c:minorTickMark val="none"/>
        <c:tickLblPos val="nextTo"/>
        <c:crossAx val="139512064"/>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Checkout Experience</a:t>
            </a:r>
          </a:p>
        </c:rich>
      </c:tx>
      <c:layout/>
      <c:overlay val="0"/>
    </c:title>
    <c:autoTitleDeleted val="0"/>
    <c:plotArea>
      <c:layout/>
      <c:lineChart>
        <c:grouping val="standard"/>
        <c:varyColors val="0"/>
        <c:ser>
          <c:idx val="0"/>
          <c:order val="0"/>
          <c:tx>
            <c:strRef>
              <c:f>FYI!$AF$46</c:f>
              <c:strCache>
                <c:ptCount val="1"/>
                <c:pt idx="0">
                  <c:v>2022</c:v>
                </c:pt>
              </c:strCache>
            </c:strRef>
          </c:tx>
          <c:cat>
            <c:strRef>
              <c:f>FYI!$AC$47:$AC$58</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FYI!$AF$47:$AF$58</c:f>
              <c:numCache>
                <c:formatCode>0%</c:formatCode>
                <c:ptCount val="12"/>
                <c:pt idx="0">
                  <c:v>0.74</c:v>
                </c:pt>
                <c:pt idx="1">
                  <c:v>0.74</c:v>
                </c:pt>
                <c:pt idx="2">
                  <c:v>0.83</c:v>
                </c:pt>
                <c:pt idx="3">
                  <c:v>0.79</c:v>
                </c:pt>
                <c:pt idx="4">
                  <c:v>0.83</c:v>
                </c:pt>
                <c:pt idx="5">
                  <c:v>0.83</c:v>
                </c:pt>
                <c:pt idx="6">
                  <c:v>0.8</c:v>
                </c:pt>
                <c:pt idx="7">
                  <c:v>0.87</c:v>
                </c:pt>
                <c:pt idx="8">
                  <c:v>0.82</c:v>
                </c:pt>
                <c:pt idx="9">
                  <c:v>0.81</c:v>
                </c:pt>
                <c:pt idx="10">
                  <c:v>0.75</c:v>
                </c:pt>
                <c:pt idx="11">
                  <c:v>0.8</c:v>
                </c:pt>
              </c:numCache>
            </c:numRef>
          </c:val>
          <c:smooth val="0"/>
        </c:ser>
        <c:ser>
          <c:idx val="1"/>
          <c:order val="1"/>
          <c:tx>
            <c:strRef>
              <c:f>FYI!$AG$46</c:f>
              <c:strCache>
                <c:ptCount val="1"/>
                <c:pt idx="0">
                  <c:v>2023</c:v>
                </c:pt>
              </c:strCache>
            </c:strRef>
          </c:tx>
          <c:cat>
            <c:strRef>
              <c:f>FYI!$AC$47:$AC$58</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FYI!$AG$47:$AG$58</c:f>
              <c:numCache>
                <c:formatCode>0%</c:formatCode>
                <c:ptCount val="12"/>
                <c:pt idx="0">
                  <c:v>0.77</c:v>
                </c:pt>
                <c:pt idx="1">
                  <c:v>0.8</c:v>
                </c:pt>
                <c:pt idx="2">
                  <c:v>0.83</c:v>
                </c:pt>
                <c:pt idx="3">
                  <c:v>0.8</c:v>
                </c:pt>
                <c:pt idx="4">
                  <c:v>0.81</c:v>
                </c:pt>
                <c:pt idx="5">
                  <c:v>0.78</c:v>
                </c:pt>
                <c:pt idx="6">
                  <c:v>0.88</c:v>
                </c:pt>
                <c:pt idx="7">
                  <c:v>0.72</c:v>
                </c:pt>
                <c:pt idx="8">
                  <c:v>0.67</c:v>
                </c:pt>
              </c:numCache>
            </c:numRef>
          </c:val>
          <c:smooth val="0"/>
        </c:ser>
        <c:dLbls>
          <c:showLegendKey val="0"/>
          <c:showVal val="0"/>
          <c:showCatName val="0"/>
          <c:showSerName val="0"/>
          <c:showPercent val="0"/>
          <c:showBubbleSize val="0"/>
        </c:dLbls>
        <c:marker val="1"/>
        <c:smooth val="0"/>
        <c:axId val="164901248"/>
        <c:axId val="164903168"/>
      </c:lineChart>
      <c:catAx>
        <c:axId val="164901248"/>
        <c:scaling>
          <c:orientation val="minMax"/>
        </c:scaling>
        <c:delete val="0"/>
        <c:axPos val="b"/>
        <c:majorTickMark val="none"/>
        <c:minorTickMark val="none"/>
        <c:tickLblPos val="nextTo"/>
        <c:crossAx val="164903168"/>
        <c:crosses val="autoZero"/>
        <c:auto val="1"/>
        <c:lblAlgn val="ctr"/>
        <c:lblOffset val="100"/>
        <c:noMultiLvlLbl val="0"/>
      </c:catAx>
      <c:valAx>
        <c:axId val="164903168"/>
        <c:scaling>
          <c:orientation val="minMax"/>
        </c:scaling>
        <c:delete val="0"/>
        <c:axPos val="l"/>
        <c:majorGridlines/>
        <c:numFmt formatCode="0%" sourceLinked="1"/>
        <c:majorTickMark val="none"/>
        <c:minorTickMark val="none"/>
        <c:tickLblPos val="nextTo"/>
        <c:crossAx val="164901248"/>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OSAT</a:t>
            </a:r>
          </a:p>
        </c:rich>
      </c:tx>
      <c:layout/>
      <c:overlay val="0"/>
    </c:title>
    <c:autoTitleDeleted val="0"/>
    <c:plotArea>
      <c:layout/>
      <c:lineChart>
        <c:grouping val="standard"/>
        <c:varyColors val="0"/>
        <c:ser>
          <c:idx val="0"/>
          <c:order val="0"/>
          <c:tx>
            <c:strRef>
              <c:f>FYI!$AF$1</c:f>
              <c:strCache>
                <c:ptCount val="1"/>
                <c:pt idx="0">
                  <c:v>2022</c:v>
                </c:pt>
              </c:strCache>
            </c:strRef>
          </c:tx>
          <c:cat>
            <c:strRef>
              <c:f>FYI!$AC$2:$AC$13</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FYI!$AF$2:$AF$13</c:f>
              <c:numCache>
                <c:formatCode>0%</c:formatCode>
                <c:ptCount val="12"/>
                <c:pt idx="0">
                  <c:v>0.62</c:v>
                </c:pt>
                <c:pt idx="1">
                  <c:v>0.63</c:v>
                </c:pt>
                <c:pt idx="2">
                  <c:v>0.78</c:v>
                </c:pt>
                <c:pt idx="3">
                  <c:v>0.75</c:v>
                </c:pt>
                <c:pt idx="4">
                  <c:v>0.67</c:v>
                </c:pt>
                <c:pt idx="5">
                  <c:v>0.75</c:v>
                </c:pt>
                <c:pt idx="6">
                  <c:v>0.71</c:v>
                </c:pt>
                <c:pt idx="7">
                  <c:v>0.75</c:v>
                </c:pt>
                <c:pt idx="8">
                  <c:v>0.77</c:v>
                </c:pt>
                <c:pt idx="9">
                  <c:v>0.84</c:v>
                </c:pt>
                <c:pt idx="10">
                  <c:v>0.71</c:v>
                </c:pt>
                <c:pt idx="11">
                  <c:v>0.71</c:v>
                </c:pt>
              </c:numCache>
            </c:numRef>
          </c:val>
          <c:smooth val="0"/>
        </c:ser>
        <c:ser>
          <c:idx val="1"/>
          <c:order val="1"/>
          <c:tx>
            <c:strRef>
              <c:f>FYI!$AG$1</c:f>
              <c:strCache>
                <c:ptCount val="1"/>
                <c:pt idx="0">
                  <c:v>2023</c:v>
                </c:pt>
              </c:strCache>
            </c:strRef>
          </c:tx>
          <c:cat>
            <c:strRef>
              <c:f>FYI!$AC$2:$AC$13</c:f>
              <c:strCache>
                <c:ptCount val="12"/>
                <c:pt idx="0">
                  <c:v>January</c:v>
                </c:pt>
                <c:pt idx="1">
                  <c:v>February</c:v>
                </c:pt>
                <c:pt idx="2">
                  <c:v>March</c:v>
                </c:pt>
                <c:pt idx="3">
                  <c:v>April </c:v>
                </c:pt>
                <c:pt idx="4">
                  <c:v>May</c:v>
                </c:pt>
                <c:pt idx="5">
                  <c:v>June</c:v>
                </c:pt>
                <c:pt idx="6">
                  <c:v>July</c:v>
                </c:pt>
                <c:pt idx="7">
                  <c:v>August</c:v>
                </c:pt>
                <c:pt idx="8">
                  <c:v>September</c:v>
                </c:pt>
                <c:pt idx="9">
                  <c:v>October</c:v>
                </c:pt>
                <c:pt idx="10">
                  <c:v>November</c:v>
                </c:pt>
                <c:pt idx="11">
                  <c:v>December</c:v>
                </c:pt>
              </c:strCache>
            </c:strRef>
          </c:cat>
          <c:val>
            <c:numRef>
              <c:f>FYI!$AG$2:$AG$13</c:f>
              <c:numCache>
                <c:formatCode>0%</c:formatCode>
                <c:ptCount val="12"/>
                <c:pt idx="0">
                  <c:v>0.72</c:v>
                </c:pt>
                <c:pt idx="1">
                  <c:v>0.67</c:v>
                </c:pt>
                <c:pt idx="2">
                  <c:v>0.75</c:v>
                </c:pt>
                <c:pt idx="3">
                  <c:v>0.78</c:v>
                </c:pt>
                <c:pt idx="4">
                  <c:v>0.74</c:v>
                </c:pt>
                <c:pt idx="5">
                  <c:v>0.72</c:v>
                </c:pt>
                <c:pt idx="6">
                  <c:v>0.69</c:v>
                </c:pt>
                <c:pt idx="7">
                  <c:v>0.68</c:v>
                </c:pt>
                <c:pt idx="8">
                  <c:v>0.64</c:v>
                </c:pt>
              </c:numCache>
            </c:numRef>
          </c:val>
          <c:smooth val="0"/>
        </c:ser>
        <c:dLbls>
          <c:showLegendKey val="0"/>
          <c:showVal val="0"/>
          <c:showCatName val="0"/>
          <c:showSerName val="0"/>
          <c:showPercent val="0"/>
          <c:showBubbleSize val="0"/>
        </c:dLbls>
        <c:marker val="1"/>
        <c:smooth val="0"/>
        <c:axId val="165676160"/>
        <c:axId val="165677696"/>
      </c:lineChart>
      <c:catAx>
        <c:axId val="165676160"/>
        <c:scaling>
          <c:orientation val="minMax"/>
        </c:scaling>
        <c:delete val="0"/>
        <c:axPos val="b"/>
        <c:majorTickMark val="none"/>
        <c:minorTickMark val="none"/>
        <c:tickLblPos val="nextTo"/>
        <c:crossAx val="165677696"/>
        <c:crosses val="autoZero"/>
        <c:auto val="1"/>
        <c:lblAlgn val="ctr"/>
        <c:lblOffset val="100"/>
        <c:noMultiLvlLbl val="0"/>
      </c:catAx>
      <c:valAx>
        <c:axId val="165677696"/>
        <c:scaling>
          <c:orientation val="minMax"/>
        </c:scaling>
        <c:delete val="0"/>
        <c:axPos val="l"/>
        <c:majorGridlines/>
        <c:numFmt formatCode="0%" sourceLinked="1"/>
        <c:majorTickMark val="none"/>
        <c:minorTickMark val="none"/>
        <c:tickLblPos val="nextTo"/>
        <c:crossAx val="165676160"/>
        <c:crosses val="autoZero"/>
        <c:crossBetween val="between"/>
      </c:valAx>
    </c:plotArea>
    <c:legend>
      <c:legendPos val="b"/>
      <c:layou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LkXGRjC+LqawLzmRD7Y+jM+oAA==">CgMxLjAyCGguZ2pkZ3hzOAByITFNeHpzS0g4dHREczA5d05zRU05RVlqUjMyRjRjLW5NUQ==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2023-10-28T15:45:00Z</dcterms:created>
  <dc:creator>Erica Wagner</dc:creator>
</cp:coreProperties>
</file>